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Op-Ed Reference Links: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http://www.bmsg.org/blog/getting-your-op-ed-published-lessons-from-a-media-advocate/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https://www.nytimes.com/2017/08/25/opinion/tips-for-aspiring-op-ed-writers.html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https://truthout.org/articles/guatemala-is-not-a-safe-third-country-decades-of-us-policy-made-it-that-way/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https://www.sacbee.com/opinion/op-ed/article223645355.html?fbclid=IwAR1WnEejxSf4DtzY0QV7Hnobi_VPJV-PgXhj0dkCqRjnYdDBSurF6LrQ7vs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acbee.com/opinion/op-ed/article223645355.html?fbclid=IwAR1WnEejxSf4DtzY0QV7Hnobi_VPJV-PgXhj0dkCqRjnYdDBSurF6LrQ7v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bmsg.org/blog/getting-your-op-ed-published-lessons-from-a-media-advocate/" TargetMode="External"/><Relationship Id="rId7" Type="http://schemas.openxmlformats.org/officeDocument/2006/relationships/hyperlink" Target="https://www.nytimes.com/2017/08/25/opinion/tips-for-aspiring-op-ed-writers.html" TargetMode="External"/><Relationship Id="rId8" Type="http://schemas.openxmlformats.org/officeDocument/2006/relationships/hyperlink" Target="https://truthout.org/articles/guatemala-is-not-a-safe-third-country-decades-of-us-policy-made-it-that-w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